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BE" w:rsidRPr="004A6562" w:rsidRDefault="0009012E" w:rsidP="004A6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Mid-season </w:t>
      </w:r>
      <w:r w:rsidR="00D5118C">
        <w:rPr>
          <w:b/>
          <w:sz w:val="28"/>
          <w:szCs w:val="28"/>
        </w:rPr>
        <w:t>sorghum</w:t>
      </w:r>
      <w:r w:rsidR="004A6562" w:rsidRPr="004A6562">
        <w:rPr>
          <w:b/>
          <w:sz w:val="28"/>
          <w:szCs w:val="28"/>
        </w:rPr>
        <w:t xml:space="preserve"> insect pests</w:t>
      </w:r>
    </w:p>
    <w:p w:rsidR="004A6562" w:rsidRDefault="004A6562"/>
    <w:p w:rsidR="004A6562" w:rsidRDefault="00D5118C">
      <w:pPr>
        <w:rPr>
          <w:b/>
        </w:rPr>
      </w:pPr>
      <w:proofErr w:type="spellStart"/>
      <w:r>
        <w:rPr>
          <w:b/>
        </w:rPr>
        <w:t>Headworms</w:t>
      </w:r>
      <w:proofErr w:type="spellEnd"/>
      <w:r w:rsidR="003D67B9">
        <w:rPr>
          <w:b/>
        </w:rPr>
        <w:t xml:space="preserve"> (corn earworm and fall armyworm)</w:t>
      </w:r>
    </w:p>
    <w:p w:rsidR="00801100" w:rsidRDefault="00D5118C" w:rsidP="00D5118C">
      <w:pPr>
        <w:rPr>
          <w:bCs/>
        </w:rPr>
      </w:pPr>
      <w:r>
        <w:rPr>
          <w:bCs/>
        </w:rPr>
        <w:t xml:space="preserve">In pre-headed sorghum, </w:t>
      </w:r>
      <w:r w:rsidR="00260368">
        <w:rPr>
          <w:bCs/>
        </w:rPr>
        <w:t xml:space="preserve">worm control is rarely justified, even with ragged </w:t>
      </w:r>
      <w:proofErr w:type="spellStart"/>
      <w:r w:rsidR="00260368">
        <w:rPr>
          <w:bCs/>
        </w:rPr>
        <w:t>shotholes</w:t>
      </w:r>
      <w:proofErr w:type="spellEnd"/>
      <w:r w:rsidR="00260368">
        <w:rPr>
          <w:bCs/>
        </w:rPr>
        <w:t xml:space="preserve"> and 40-60% leaf injury.  </w:t>
      </w:r>
      <w:r>
        <w:rPr>
          <w:bCs/>
        </w:rPr>
        <w:t>Heads should be sampled</w:t>
      </w:r>
      <w:r w:rsidR="00081FE7" w:rsidRPr="00D5118C">
        <w:rPr>
          <w:bCs/>
        </w:rPr>
        <w:t xml:space="preserve"> soon after flowering until the soft dough stage</w:t>
      </w:r>
      <w:r>
        <w:rPr>
          <w:bCs/>
        </w:rPr>
        <w:t xml:space="preserve"> by scouting </w:t>
      </w:r>
      <w:r w:rsidR="00A12E4F">
        <w:rPr>
          <w:bCs/>
        </w:rPr>
        <w:t>a minimum of 200 plants (sample multiple</w:t>
      </w:r>
      <w:r w:rsidR="00081FE7" w:rsidRPr="00D5118C">
        <w:rPr>
          <w:bCs/>
        </w:rPr>
        <w:t xml:space="preserve"> </w:t>
      </w:r>
      <w:r w:rsidR="00A12E4F">
        <w:rPr>
          <w:bCs/>
        </w:rPr>
        <w:t>areas)</w:t>
      </w:r>
      <w:r>
        <w:rPr>
          <w:bCs/>
        </w:rPr>
        <w:t>.</w:t>
      </w:r>
      <w:r w:rsidR="00081FE7" w:rsidRPr="00D5118C">
        <w:rPr>
          <w:bCs/>
        </w:rPr>
        <w:t xml:space="preserve"> </w:t>
      </w:r>
      <w:r>
        <w:rPr>
          <w:bCs/>
        </w:rPr>
        <w:t xml:space="preserve"> </w:t>
      </w:r>
      <w:r w:rsidR="007E505C">
        <w:rPr>
          <w:bCs/>
        </w:rPr>
        <w:t xml:space="preserve">Shake heads into a 5-gallon bucket and count the </w:t>
      </w:r>
      <w:proofErr w:type="spellStart"/>
      <w:r w:rsidR="003D67B9">
        <w:rPr>
          <w:bCs/>
        </w:rPr>
        <w:t>head</w:t>
      </w:r>
      <w:r w:rsidR="007E505C">
        <w:rPr>
          <w:bCs/>
        </w:rPr>
        <w:t>worms</w:t>
      </w:r>
      <w:proofErr w:type="spellEnd"/>
      <w:r w:rsidR="007E505C">
        <w:rPr>
          <w:bCs/>
        </w:rPr>
        <w:t xml:space="preserve">.  </w:t>
      </w:r>
      <w:r w:rsidR="00081FE7" w:rsidRPr="00D5118C">
        <w:rPr>
          <w:bCs/>
        </w:rPr>
        <w:t xml:space="preserve">Treat only when larvae damage the head or the developing growing point and </w:t>
      </w:r>
      <w:proofErr w:type="gramStart"/>
      <w:r w:rsidR="003D67B9">
        <w:rPr>
          <w:bCs/>
        </w:rPr>
        <w:t>worms</w:t>
      </w:r>
      <w:proofErr w:type="gramEnd"/>
      <w:r w:rsidR="00081FE7" w:rsidRPr="00D5118C">
        <w:rPr>
          <w:bCs/>
        </w:rPr>
        <w:t xml:space="preserve"> average 2 or more per head</w:t>
      </w:r>
      <w:r>
        <w:rPr>
          <w:bCs/>
        </w:rPr>
        <w:t>.</w:t>
      </w:r>
      <w:r w:rsidR="00081FE7" w:rsidRPr="00D5118C">
        <w:rPr>
          <w:bCs/>
        </w:rPr>
        <w:t xml:space="preserve">  Open-headed hybrids are damaged less than the compact or closed-headed type</w:t>
      </w:r>
      <w:r>
        <w:rPr>
          <w:bCs/>
        </w:rPr>
        <w:t>.</w:t>
      </w:r>
      <w:r w:rsidR="003D67B9">
        <w:rPr>
          <w:bCs/>
        </w:rPr>
        <w:t xml:space="preserve">  </w:t>
      </w:r>
      <w:r w:rsidR="007C3A25">
        <w:rPr>
          <w:bCs/>
        </w:rPr>
        <w:t xml:space="preserve">Multiple </w:t>
      </w:r>
      <w:proofErr w:type="spellStart"/>
      <w:r w:rsidR="007C3A25">
        <w:rPr>
          <w:bCs/>
        </w:rPr>
        <w:t>pyrethroid</w:t>
      </w:r>
      <w:proofErr w:type="spellEnd"/>
      <w:r w:rsidR="007C3A25">
        <w:rPr>
          <w:bCs/>
        </w:rPr>
        <w:t xml:space="preserve"> insecticides are labeled for corn earworm control, but </w:t>
      </w:r>
      <w:proofErr w:type="spellStart"/>
      <w:r w:rsidR="00D66348">
        <w:rPr>
          <w:bCs/>
        </w:rPr>
        <w:t>m</w:t>
      </w:r>
      <w:r w:rsidR="007C3A25">
        <w:rPr>
          <w:bCs/>
        </w:rPr>
        <w:t>ethomyl</w:t>
      </w:r>
      <w:proofErr w:type="spellEnd"/>
      <w:r w:rsidR="007C3A25">
        <w:rPr>
          <w:bCs/>
        </w:rPr>
        <w:t xml:space="preserve"> (</w:t>
      </w:r>
      <w:proofErr w:type="spellStart"/>
      <w:r w:rsidR="007C3A25">
        <w:rPr>
          <w:bCs/>
        </w:rPr>
        <w:t>Lannate</w:t>
      </w:r>
      <w:proofErr w:type="spellEnd"/>
      <w:r w:rsidR="007C3A25">
        <w:rPr>
          <w:bCs/>
        </w:rPr>
        <w:t>) is the best option for fall armyworm.</w:t>
      </w:r>
    </w:p>
    <w:p w:rsidR="003D67B9" w:rsidRDefault="003D67B9" w:rsidP="00D5118C">
      <w:pPr>
        <w:rPr>
          <w:bCs/>
        </w:rPr>
      </w:pPr>
    </w:p>
    <w:p w:rsidR="003D67B9" w:rsidRDefault="00260368" w:rsidP="00260368">
      <w:pPr>
        <w:tabs>
          <w:tab w:val="left" w:pos="4680"/>
        </w:tabs>
        <w:rPr>
          <w:bCs/>
        </w:rPr>
      </w:pPr>
      <w:r w:rsidRPr="00260368">
        <w:rPr>
          <w:bCs/>
          <w:noProof/>
        </w:rPr>
        <w:drawing>
          <wp:inline distT="0" distB="0" distL="0" distR="0" wp14:anchorId="4BDF8529" wp14:editId="158AAFF0">
            <wp:extent cx="2953512" cy="2286000"/>
            <wp:effectExtent l="19050" t="19050" r="18415" b="19050"/>
            <wp:docPr id="4098" name="Picture 2" descr="C:\Documents and Settings\Sean\Desktop\sor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Sean\Desktop\sor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 w:rsidR="003D67B9" w:rsidRPr="003D67B9">
        <w:rPr>
          <w:bCs/>
          <w:noProof/>
        </w:rPr>
        <w:drawing>
          <wp:inline distT="0" distB="0" distL="0" distR="0">
            <wp:extent cx="2404872" cy="2286000"/>
            <wp:effectExtent l="0" t="0" r="0" b="0"/>
            <wp:docPr id="6" name="Picture 6" descr="C:\Users\SED-smalone\Documents\Pictures\sorghum\Corn ear worms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-smalone\Documents\Pictures\sorghum\Corn ear worms-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B9" w:rsidRPr="00061B66" w:rsidRDefault="00260368" w:rsidP="00D5118C">
      <w:pPr>
        <w:rPr>
          <w:bCs/>
          <w:i/>
        </w:rPr>
      </w:pPr>
      <w:r>
        <w:rPr>
          <w:bCs/>
          <w:i/>
        </w:rPr>
        <w:t xml:space="preserve">Sorghum leaves with ragged </w:t>
      </w:r>
      <w:proofErr w:type="spellStart"/>
      <w:r>
        <w:rPr>
          <w:bCs/>
          <w:i/>
        </w:rPr>
        <w:t>shothole</w:t>
      </w:r>
      <w:proofErr w:type="spellEnd"/>
      <w:r>
        <w:rPr>
          <w:bCs/>
          <w:i/>
        </w:rPr>
        <w:t xml:space="preserve"> worm injury; </w:t>
      </w:r>
      <w:proofErr w:type="spellStart"/>
      <w:r>
        <w:rPr>
          <w:bCs/>
          <w:i/>
        </w:rPr>
        <w:t>h</w:t>
      </w:r>
      <w:r w:rsidR="003D67B9" w:rsidRPr="00061B66">
        <w:rPr>
          <w:bCs/>
          <w:i/>
        </w:rPr>
        <w:t>eadworms</w:t>
      </w:r>
      <w:proofErr w:type="spellEnd"/>
      <w:r w:rsidR="00314E90">
        <w:rPr>
          <w:bCs/>
          <w:i/>
        </w:rPr>
        <w:t xml:space="preserve"> (corn earworm)</w:t>
      </w:r>
      <w:r w:rsidR="003D67B9" w:rsidRPr="00061B66">
        <w:rPr>
          <w:bCs/>
          <w:i/>
        </w:rPr>
        <w:t xml:space="preserve"> in sorghum.</w:t>
      </w:r>
    </w:p>
    <w:p w:rsidR="003D67B9" w:rsidRPr="00D5118C" w:rsidRDefault="003D67B9" w:rsidP="00D5118C"/>
    <w:p w:rsidR="00D5118C" w:rsidRDefault="003D67B9" w:rsidP="003D67B9">
      <w:pPr>
        <w:tabs>
          <w:tab w:val="left" w:pos="5040"/>
        </w:tabs>
      </w:pPr>
      <w:r w:rsidRPr="003D67B9">
        <w:rPr>
          <w:noProof/>
        </w:rPr>
        <w:drawing>
          <wp:inline distT="0" distB="0" distL="0" distR="0" wp14:anchorId="4695224C" wp14:editId="6D34DF14">
            <wp:extent cx="3017520" cy="1828800"/>
            <wp:effectExtent l="19050" t="19050" r="11430" b="19050"/>
            <wp:docPr id="1028" name="Picture 4" descr="C:\Documents and Settings\Sean\Desktop\Corn earworm larva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Sean\Desktop\Corn earworm larva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 w:rsidRPr="003D67B9">
        <w:rPr>
          <w:noProof/>
        </w:rPr>
        <w:drawing>
          <wp:inline distT="0" distB="0" distL="0" distR="0" wp14:anchorId="1F031B59" wp14:editId="1EF69997">
            <wp:extent cx="2441448" cy="1828800"/>
            <wp:effectExtent l="19050" t="19050" r="16510" b="19050"/>
            <wp:docPr id="1027" name="Picture 3" descr="C:\Documents and Settings\Sean\Desktop\Fall armyworm lar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Sean\Desktop\Fall armyworm larva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0368" w:rsidRDefault="003D67B9" w:rsidP="003D67B9">
      <w:pPr>
        <w:tabs>
          <w:tab w:val="left" w:pos="5040"/>
        </w:tabs>
        <w:rPr>
          <w:i/>
        </w:rPr>
        <w:sectPr w:rsidR="002603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61B66">
        <w:rPr>
          <w:i/>
        </w:rPr>
        <w:t>Corn earworm and fall armyworm larvae (both photos courtesy of Martin Spellman).</w:t>
      </w:r>
    </w:p>
    <w:p w:rsidR="003D67B9" w:rsidRDefault="00260368" w:rsidP="003D67B9">
      <w:pPr>
        <w:tabs>
          <w:tab w:val="left" w:pos="5040"/>
        </w:tabs>
        <w:rPr>
          <w:b/>
        </w:rPr>
      </w:pPr>
      <w:r w:rsidRPr="00260368">
        <w:rPr>
          <w:b/>
        </w:rPr>
        <w:lastRenderedPageBreak/>
        <w:t>Aphids</w:t>
      </w:r>
    </w:p>
    <w:p w:rsidR="004A6982" w:rsidRDefault="004A6982" w:rsidP="003D67B9">
      <w:pPr>
        <w:tabs>
          <w:tab w:val="left" w:pos="5040"/>
        </w:tabs>
        <w:rPr>
          <w:sz w:val="23"/>
          <w:szCs w:val="23"/>
        </w:rPr>
      </w:pPr>
      <w:r>
        <w:t>A mixture of aphids may be found in Virginia sorghum fields, including white sugarcane aphid (</w:t>
      </w:r>
      <w:proofErr w:type="spellStart"/>
      <w:r>
        <w:rPr>
          <w:rStyle w:val="Emphasis"/>
        </w:rPr>
        <w:t>Melanaphis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sacchari</w:t>
      </w:r>
      <w:proofErr w:type="spellEnd"/>
      <w:r>
        <w:t>)</w:t>
      </w:r>
      <w:r>
        <w:rPr>
          <w:sz w:val="23"/>
          <w:szCs w:val="23"/>
        </w:rPr>
        <w:t xml:space="preserve">, a species that </w:t>
      </w:r>
      <w:r w:rsidRPr="009F5CD4">
        <w:rPr>
          <w:sz w:val="23"/>
          <w:szCs w:val="23"/>
        </w:rPr>
        <w:t>has recently made a host switch from sug</w:t>
      </w:r>
      <w:r>
        <w:rPr>
          <w:sz w:val="23"/>
          <w:szCs w:val="23"/>
        </w:rPr>
        <w:t>arcane to sorghum</w:t>
      </w:r>
      <w:r w:rsidRPr="009F5CD4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It was first discovered in Virginia in September 2015.  </w:t>
      </w:r>
      <w:r w:rsidRPr="009F5CD4">
        <w:rPr>
          <w:sz w:val="23"/>
          <w:szCs w:val="23"/>
        </w:rPr>
        <w:t>Infestation</w:t>
      </w:r>
      <w:r>
        <w:rPr>
          <w:sz w:val="23"/>
          <w:szCs w:val="23"/>
        </w:rPr>
        <w:t>s of white sugarcane aphid</w:t>
      </w:r>
      <w:r w:rsidRPr="009F5CD4">
        <w:rPr>
          <w:sz w:val="23"/>
          <w:szCs w:val="23"/>
        </w:rPr>
        <w:t xml:space="preserve"> can stunt or even kill sorghum plants that are in the pre-head stage</w:t>
      </w:r>
      <w:r>
        <w:rPr>
          <w:sz w:val="23"/>
          <w:szCs w:val="23"/>
        </w:rPr>
        <w:t>,</w:t>
      </w:r>
      <w:r w:rsidRPr="009F5CD4">
        <w:rPr>
          <w:sz w:val="23"/>
          <w:szCs w:val="23"/>
        </w:rPr>
        <w:t xml:space="preserve"> and after heading the honeydew can interfere with mechanical harvest by plugging up combines.</w:t>
      </w:r>
    </w:p>
    <w:p w:rsidR="004A6982" w:rsidRDefault="004A6982" w:rsidP="003D67B9">
      <w:pPr>
        <w:tabs>
          <w:tab w:val="left" w:pos="5040"/>
        </w:tabs>
        <w:rPr>
          <w:sz w:val="23"/>
          <w:szCs w:val="23"/>
        </w:rPr>
      </w:pPr>
    </w:p>
    <w:p w:rsidR="004A6982" w:rsidRDefault="004A6982" w:rsidP="003D67B9">
      <w:pPr>
        <w:tabs>
          <w:tab w:val="left" w:pos="5040"/>
        </w:tabs>
      </w:pPr>
      <w:r>
        <w:t>Another aphid pest of sorghum is the yellow sugarcane aphid (</w:t>
      </w:r>
      <w:proofErr w:type="spellStart"/>
      <w:r>
        <w:rPr>
          <w:rStyle w:val="Emphasis"/>
        </w:rPr>
        <w:t>Sipha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flava</w:t>
      </w:r>
      <w:proofErr w:type="spellEnd"/>
      <w:r>
        <w:t>).  According to Michael Brewer (Texas A&amp;M University), y</w:t>
      </w:r>
      <w:r w:rsidRPr="004A6982">
        <w:t xml:space="preserve">ellow sugarcane aphid can be a problem on seedling sorghum. </w:t>
      </w:r>
      <w:r>
        <w:t xml:space="preserve"> Dr. Brewer mentions that he gets concerned w</w:t>
      </w:r>
      <w:r w:rsidR="00712388">
        <w:t>hen</w:t>
      </w:r>
      <w:r>
        <w:t xml:space="preserve"> there are 5 yellow sugarcane aphids </w:t>
      </w:r>
      <w:r w:rsidRPr="004A6982">
        <w:t>per leaf on o</w:t>
      </w:r>
      <w:r>
        <w:t xml:space="preserve">ne-leaf sorghum, but if the sorghum is older </w:t>
      </w:r>
      <w:r w:rsidRPr="004A6982">
        <w:t xml:space="preserve">or growing fast, </w:t>
      </w:r>
      <w:r>
        <w:t>typically just</w:t>
      </w:r>
      <w:r w:rsidRPr="004A6982">
        <w:t xml:space="preserve"> the base leaf </w:t>
      </w:r>
      <w:r>
        <w:t xml:space="preserve">is </w:t>
      </w:r>
      <w:r w:rsidRPr="004A6982">
        <w:t>damaged</w:t>
      </w:r>
      <w:r>
        <w:t xml:space="preserve"> and everything else is O.K. </w:t>
      </w:r>
      <w:r w:rsidRPr="004A6982">
        <w:t xml:space="preserve"> </w:t>
      </w:r>
      <w:proofErr w:type="spellStart"/>
      <w:r w:rsidRPr="004A6982">
        <w:t>Lorsban</w:t>
      </w:r>
      <w:proofErr w:type="spellEnd"/>
      <w:r w:rsidRPr="004A6982">
        <w:t xml:space="preserve"> seems to work well for yellows, less</w:t>
      </w:r>
      <w:r>
        <w:t xml:space="preserve"> so </w:t>
      </w:r>
      <w:r w:rsidRPr="004A6982">
        <w:t xml:space="preserve">for </w:t>
      </w:r>
      <w:r>
        <w:t xml:space="preserve">white </w:t>
      </w:r>
      <w:r w:rsidRPr="004A6982">
        <w:t>sugarcane aphid.</w:t>
      </w:r>
      <w:r w:rsidR="00AB0567">
        <w:t xml:space="preserve">  </w:t>
      </w:r>
      <w:r>
        <w:t>Corn leaf aphids (</w:t>
      </w:r>
      <w:proofErr w:type="spellStart"/>
      <w:r>
        <w:rPr>
          <w:rStyle w:val="Emphasis"/>
        </w:rPr>
        <w:t>Rhopalosiphum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maidis</w:t>
      </w:r>
      <w:proofErr w:type="spellEnd"/>
      <w:r>
        <w:t>) are rarely worth concern–they are just good food for beneficial natural enemies!</w:t>
      </w:r>
    </w:p>
    <w:p w:rsidR="004A6982" w:rsidRDefault="004A6982" w:rsidP="003D67B9">
      <w:pPr>
        <w:tabs>
          <w:tab w:val="left" w:pos="5040"/>
        </w:tabs>
      </w:pPr>
    </w:p>
    <w:p w:rsidR="00260368" w:rsidRDefault="00712388" w:rsidP="003D67B9">
      <w:pPr>
        <w:tabs>
          <w:tab w:val="left" w:pos="5040"/>
        </w:tabs>
      </w:pPr>
      <w:r>
        <w:t>Since w</w:t>
      </w:r>
      <w:r w:rsidR="00492C1E">
        <w:t>hite sugarcane aphid was found</w:t>
      </w:r>
      <w:r w:rsidR="00A12E4F">
        <w:t xml:space="preserve"> this season</w:t>
      </w:r>
      <w:r w:rsidR="00492C1E">
        <w:t xml:space="preserve"> </w:t>
      </w:r>
      <w:r w:rsidR="00A12E4F">
        <w:t>in late July</w:t>
      </w:r>
      <w:r>
        <w:t xml:space="preserve">, </w:t>
      </w:r>
      <w:r w:rsidR="00492C1E">
        <w:t xml:space="preserve">it is important to scout </w:t>
      </w:r>
      <w:r w:rsidR="00BB54A6">
        <w:t>sorghum</w:t>
      </w:r>
      <w:r w:rsidR="00492C1E">
        <w:t xml:space="preserve"> at least weekly for this pest</w:t>
      </w:r>
      <w:r>
        <w:t xml:space="preserve">.  Start with field edges, especially checking the underside of lower leaves.  Leaves that are shiny with honeydew are a clue that aphids are present on that plant.  </w:t>
      </w:r>
      <w:r w:rsidR="00081FE7">
        <w:t xml:space="preserve">A general threshold is 25% of plants infested with white sugarcane aphid colonies.  </w:t>
      </w:r>
      <w:r w:rsidR="00AB0567">
        <w:t>When white sugarcane and other aphid species are in the mix, c</w:t>
      </w:r>
      <w:r w:rsidR="004A6982">
        <w:t xml:space="preserve">ontrol decisions </w:t>
      </w:r>
      <w:r>
        <w:t xml:space="preserve">should be </w:t>
      </w:r>
      <w:r w:rsidR="004A6982">
        <w:t>based on white sugarcane aphid numbers and product recommendations</w:t>
      </w:r>
      <w:r w:rsidR="00AB0567">
        <w:t xml:space="preserve"> (</w:t>
      </w:r>
      <w:r w:rsidR="00A12E4F">
        <w:t xml:space="preserve">i.e., </w:t>
      </w:r>
      <w:bookmarkStart w:id="0" w:name="_GoBack"/>
      <w:bookmarkEnd w:id="0"/>
      <w:proofErr w:type="spellStart"/>
      <w:r w:rsidR="00AB0567">
        <w:t>Sivanto</w:t>
      </w:r>
      <w:proofErr w:type="spellEnd"/>
      <w:r w:rsidR="00AB0567">
        <w:t xml:space="preserve"> and Transform)</w:t>
      </w:r>
      <w:r w:rsidR="004A6982">
        <w:t>.</w:t>
      </w:r>
      <w:r w:rsidR="00492C1E">
        <w:t xml:space="preserve">  </w:t>
      </w:r>
      <w:r w:rsidR="00AB0567">
        <w:t xml:space="preserve">Good coverage is essential, and repeat applications (if needed) should rotate chemistries.  </w:t>
      </w:r>
      <w:proofErr w:type="spellStart"/>
      <w:r w:rsidR="00492C1E">
        <w:t>Pyrethroids</w:t>
      </w:r>
      <w:proofErr w:type="spellEnd"/>
      <w:r w:rsidR="00492C1E">
        <w:t xml:space="preserve"> are not effective against white sugarcane aphid and are harmful to natural enemy populations, thus should be avoided</w:t>
      </w:r>
      <w:r w:rsidR="00BB54A6">
        <w:t xml:space="preserve"> for that aphid</w:t>
      </w:r>
      <w:r w:rsidR="00492C1E">
        <w:t>.</w:t>
      </w:r>
    </w:p>
    <w:p w:rsidR="00A5760D" w:rsidRDefault="00A5760D" w:rsidP="003D67B9">
      <w:pPr>
        <w:tabs>
          <w:tab w:val="left" w:pos="5040"/>
        </w:tabs>
      </w:pPr>
    </w:p>
    <w:p w:rsidR="00A5760D" w:rsidRDefault="00A5760D" w:rsidP="00A5760D">
      <w:pPr>
        <w:tabs>
          <w:tab w:val="left" w:pos="3780"/>
          <w:tab w:val="left" w:pos="5040"/>
        </w:tabs>
      </w:pPr>
      <w:r>
        <w:rPr>
          <w:noProof/>
        </w:rPr>
        <w:drawing>
          <wp:inline distT="0" distB="0" distL="0" distR="0">
            <wp:extent cx="2286000" cy="1828800"/>
            <wp:effectExtent l="0" t="0" r="0" b="0"/>
            <wp:docPr id="9" name="Picture 9" descr="http://blogs.ext.vt.edu/ag-pest-advisory/files/2016/07/white-sugarcane-aph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ext.vt.edu/ag-pest-advisory/files/2016/07/white-sugarcane-aph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41448" cy="1828800"/>
            <wp:effectExtent l="0" t="0" r="0" b="0"/>
            <wp:docPr id="10" name="Picture 10" descr="http://blogs.ext.vt.edu/ag-pest-advisory/files/2016/07/yellow-sugarcane-aphid-grantham-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ext.vt.edu/ag-pest-advisory/files/2016/07/yellow-sugarcane-aphid-grantham-os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0D" w:rsidRDefault="00A5760D" w:rsidP="003D67B9">
      <w:pPr>
        <w:tabs>
          <w:tab w:val="left" w:pos="5040"/>
        </w:tabs>
      </w:pPr>
    </w:p>
    <w:p w:rsidR="00A5760D" w:rsidRPr="00260368" w:rsidRDefault="00A5760D" w:rsidP="003D67B9">
      <w:pPr>
        <w:tabs>
          <w:tab w:val="left" w:pos="5040"/>
        </w:tabs>
      </w:pPr>
      <w:r>
        <w:rPr>
          <w:noProof/>
        </w:rPr>
        <w:drawing>
          <wp:inline distT="0" distB="0" distL="0" distR="0">
            <wp:extent cx="2441448" cy="1828800"/>
            <wp:effectExtent l="0" t="0" r="0" b="0"/>
            <wp:docPr id="11" name="Picture 11" descr="http://blogs.ext.vt.edu/ag-pest-advisory/files/2016/07/corn-leaf-aph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s.ext.vt.edu/ag-pest-advisory/files/2016/07/corn-leaf-aph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60D" w:rsidRPr="0026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02AA8"/>
    <w:multiLevelType w:val="hybridMultilevel"/>
    <w:tmpl w:val="437C45E6"/>
    <w:lvl w:ilvl="0" w:tplc="1B18D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E4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2AF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4E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C6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4F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AE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82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28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62"/>
    <w:rsid w:val="000352DE"/>
    <w:rsid w:val="000604BE"/>
    <w:rsid w:val="00061B66"/>
    <w:rsid w:val="00081FE7"/>
    <w:rsid w:val="0009012E"/>
    <w:rsid w:val="000C3508"/>
    <w:rsid w:val="000D4D28"/>
    <w:rsid w:val="000F04F9"/>
    <w:rsid w:val="0010220F"/>
    <w:rsid w:val="00145003"/>
    <w:rsid w:val="00163FF1"/>
    <w:rsid w:val="001B4055"/>
    <w:rsid w:val="001E542C"/>
    <w:rsid w:val="002220AB"/>
    <w:rsid w:val="002344CA"/>
    <w:rsid w:val="00260368"/>
    <w:rsid w:val="002B7476"/>
    <w:rsid w:val="00314E90"/>
    <w:rsid w:val="00357CEA"/>
    <w:rsid w:val="003B4E39"/>
    <w:rsid w:val="003D2742"/>
    <w:rsid w:val="003D27A7"/>
    <w:rsid w:val="003D46EA"/>
    <w:rsid w:val="003D67B9"/>
    <w:rsid w:val="003E378F"/>
    <w:rsid w:val="003F291C"/>
    <w:rsid w:val="00492C1E"/>
    <w:rsid w:val="004A6562"/>
    <w:rsid w:val="004A6982"/>
    <w:rsid w:val="004C76FE"/>
    <w:rsid w:val="00507FBE"/>
    <w:rsid w:val="00574EC4"/>
    <w:rsid w:val="00584E62"/>
    <w:rsid w:val="005D404C"/>
    <w:rsid w:val="0065419F"/>
    <w:rsid w:val="006F74BD"/>
    <w:rsid w:val="00700406"/>
    <w:rsid w:val="00712388"/>
    <w:rsid w:val="007626B4"/>
    <w:rsid w:val="0078436A"/>
    <w:rsid w:val="007A7B1F"/>
    <w:rsid w:val="007B4544"/>
    <w:rsid w:val="007C3A25"/>
    <w:rsid w:val="007E505C"/>
    <w:rsid w:val="007F49E9"/>
    <w:rsid w:val="00801100"/>
    <w:rsid w:val="008654C1"/>
    <w:rsid w:val="008939AF"/>
    <w:rsid w:val="008E1C52"/>
    <w:rsid w:val="008F5B26"/>
    <w:rsid w:val="00906913"/>
    <w:rsid w:val="00975A9B"/>
    <w:rsid w:val="009A54F6"/>
    <w:rsid w:val="00A10223"/>
    <w:rsid w:val="00A12E4F"/>
    <w:rsid w:val="00A43646"/>
    <w:rsid w:val="00A5760D"/>
    <w:rsid w:val="00AB0567"/>
    <w:rsid w:val="00B2773F"/>
    <w:rsid w:val="00B57FD1"/>
    <w:rsid w:val="00B61EBD"/>
    <w:rsid w:val="00BB54A6"/>
    <w:rsid w:val="00C500B4"/>
    <w:rsid w:val="00C93806"/>
    <w:rsid w:val="00C95982"/>
    <w:rsid w:val="00D122C0"/>
    <w:rsid w:val="00D1630C"/>
    <w:rsid w:val="00D5118C"/>
    <w:rsid w:val="00D66348"/>
    <w:rsid w:val="00DD39EC"/>
    <w:rsid w:val="00E6598D"/>
    <w:rsid w:val="00E81C4C"/>
    <w:rsid w:val="00F04667"/>
    <w:rsid w:val="00F44425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72647-0897-4200-A946-C6753DA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4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2D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6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939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220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848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08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360C-C279-4552-A95F-A47B4A6A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Rev1</cp:lastModifiedBy>
  <cp:revision>20</cp:revision>
  <dcterms:created xsi:type="dcterms:W3CDTF">2016-08-01T12:40:00Z</dcterms:created>
  <dcterms:modified xsi:type="dcterms:W3CDTF">2016-08-01T13:47:00Z</dcterms:modified>
</cp:coreProperties>
</file>